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68660C" w14:textId="1F60CEE8" w:rsidR="00000000" w:rsidRDefault="00EF10A7">
      <w:pPr>
        <w:pStyle w:val="a6"/>
        <w:outlineLvl w:val="0"/>
        <w:rPr>
          <w:sz w:val="32"/>
        </w:rPr>
      </w:pPr>
      <w:r>
        <w:rPr>
          <w:noProof/>
        </w:rPr>
        <w:drawing>
          <wp:anchor distT="0" distB="0" distL="133350" distR="115570" simplePos="0" relativeHeight="251658240" behindDoc="0" locked="0" layoutInCell="0" allowOverlap="1" wp14:anchorId="40B10226" wp14:editId="6028FC38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245" cy="1398905"/>
            <wp:effectExtent l="0" t="0" r="0" b="0"/>
            <wp:wrapTight wrapText="bothSides">
              <wp:wrapPolygon edited="0">
                <wp:start x="0" y="0"/>
                <wp:lineTo x="0" y="21178"/>
                <wp:lineTo x="21366" y="21178"/>
                <wp:lineTo x="2136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398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>ПРЕСС-СЛУЖБА</w:t>
      </w:r>
    </w:p>
    <w:p w14:paraId="0F1F9149" w14:textId="77777777" w:rsidR="00000000" w:rsidRDefault="00EF10A7">
      <w:pPr>
        <w:pStyle w:val="a6"/>
        <w:rPr>
          <w:sz w:val="32"/>
        </w:rPr>
      </w:pPr>
      <w:r>
        <w:rPr>
          <w:sz w:val="32"/>
        </w:rPr>
        <w:t xml:space="preserve">ОТДЕЛЕНИЯ ФОНДА ПЕНСИОННОГО </w:t>
      </w:r>
    </w:p>
    <w:p w14:paraId="49155677" w14:textId="77777777" w:rsidR="00000000" w:rsidRDefault="00EF10A7">
      <w:pPr>
        <w:pStyle w:val="a6"/>
        <w:rPr>
          <w:sz w:val="32"/>
        </w:rPr>
      </w:pPr>
      <w:r>
        <w:rPr>
          <w:sz w:val="32"/>
        </w:rPr>
        <w:t xml:space="preserve">И СОЦИАЛЬНОГО СТРАХОВАНИЯ </w:t>
      </w:r>
    </w:p>
    <w:p w14:paraId="52A2EEDE" w14:textId="77777777" w:rsidR="00000000" w:rsidRDefault="00EF10A7">
      <w:pPr>
        <w:pStyle w:val="a6"/>
        <w:rPr>
          <w:sz w:val="32"/>
        </w:rPr>
      </w:pPr>
      <w:r>
        <w:rPr>
          <w:sz w:val="32"/>
        </w:rPr>
        <w:t>РОССИЙСКОЙ ФЕДЕРАЦИИ</w:t>
      </w:r>
    </w:p>
    <w:p w14:paraId="4FB29A1B" w14:textId="77777777" w:rsidR="00000000" w:rsidRDefault="00EF10A7">
      <w:pPr>
        <w:pStyle w:val="a6"/>
        <w:outlineLvl w:val="0"/>
        <w:rPr>
          <w:sz w:val="32"/>
        </w:rPr>
      </w:pPr>
      <w:r>
        <w:rPr>
          <w:sz w:val="32"/>
        </w:rPr>
        <w:t xml:space="preserve">ПО ВОЛГОГРАДСКОЙ ОБЛАСТИ </w:t>
      </w:r>
    </w:p>
    <w:p w14:paraId="11CEE763" w14:textId="77777777" w:rsidR="00000000" w:rsidRDefault="00EF10A7">
      <w:pPr>
        <w:pStyle w:val="a6"/>
        <w:ind w:left="142"/>
        <w:outlineLvl w:val="0"/>
        <w:rPr>
          <w:sz w:val="32"/>
        </w:rPr>
      </w:pPr>
    </w:p>
    <w:p w14:paraId="498F71D1" w14:textId="77777777" w:rsidR="00000000" w:rsidRDefault="00EF10A7">
      <w:pPr>
        <w:pStyle w:val="a9"/>
        <w:ind w:left="142" w:firstLine="578"/>
        <w:jc w:val="center"/>
        <w:rPr>
          <w:b/>
          <w:bCs/>
          <w:sz w:val="28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 w14:paraId="1F0E4940" w14:textId="77777777" w:rsidR="00000000" w:rsidRDefault="00EF10A7">
      <w:pPr>
        <w:pStyle w:val="a9"/>
        <w:ind w:left="1620"/>
        <w:jc w:val="center"/>
        <w:rPr>
          <w:b/>
          <w:bCs/>
          <w:sz w:val="28"/>
        </w:rPr>
      </w:pPr>
    </w:p>
    <w:p w14:paraId="021CEC6D" w14:textId="2CA8E6C9" w:rsidR="00000000" w:rsidRDefault="00EF10A7">
      <w:pPr>
        <w:pStyle w:val="a9"/>
        <w:ind w:left="1620"/>
        <w:jc w:val="center"/>
        <w:rPr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1AC51B5" wp14:editId="39EF4EA5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30480" t="29210" r="37465" b="37465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04330" cy="0"/>
                        </a:xfrm>
                        <a:prstGeom prst="line">
                          <a:avLst/>
                        </a:prstGeom>
                        <a:noFill/>
                        <a:ln w="57240" cap="flat">
                          <a:solidFill>
                            <a:srgbClr val="0000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192B6" id="shape_0" o:spid="_x0000_s1026" style="position:absolute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5.2pt" to="538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" o:allowincell="f" strokecolor="#009" strokeweight="1.59mm">
                <v:stroke joinstyle="miter"/>
              </v:line>
            </w:pict>
          </mc:Fallback>
        </mc:AlternateContent>
      </w:r>
    </w:p>
    <w:p w14:paraId="2AA6D2B6" w14:textId="77777777" w:rsidR="00000000" w:rsidRDefault="00EF10A7">
      <w:pPr>
        <w:pStyle w:val="a9"/>
        <w:jc w:val="left"/>
        <w:rPr>
          <w:b/>
          <w:bCs/>
        </w:rPr>
      </w:pPr>
    </w:p>
    <w:p w14:paraId="5CEE640A" w14:textId="77777777" w:rsidR="00000000" w:rsidRDefault="00EF10A7">
      <w:pPr>
        <w:jc w:val="center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  <w:b/>
          <w:bCs/>
          <w:szCs w:val="20"/>
        </w:rPr>
        <w:t xml:space="preserve">      </w:t>
      </w:r>
      <w:r>
        <w:rPr>
          <w:rFonts w:ascii="Times New Roman" w:hAnsi="Times New Roman"/>
          <w:b/>
          <w:bCs/>
          <w:szCs w:val="20"/>
        </w:rPr>
        <w:t>Официальный сайт Отделения СФР по Во</w:t>
      </w:r>
      <w:r>
        <w:rPr>
          <w:rFonts w:ascii="Times New Roman" w:hAnsi="Times New Roman"/>
          <w:b/>
          <w:bCs/>
          <w:szCs w:val="20"/>
        </w:rPr>
        <w:t>лгоградской области –</w:t>
      </w:r>
      <w:r>
        <w:rPr>
          <w:rFonts w:ascii="Times New Roman" w:hAnsi="Times New Roman"/>
          <w:b/>
          <w:bCs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Cs w:val="20"/>
          <w:lang w:val="en-US"/>
        </w:rPr>
        <w:t>sfr</w:t>
      </w:r>
      <w:r>
        <w:rPr>
          <w:rFonts w:ascii="Times New Roman" w:hAnsi="Times New Roman"/>
          <w:b/>
          <w:bCs/>
          <w:szCs w:val="20"/>
        </w:rPr>
        <w:t>.</w:t>
      </w:r>
      <w:r>
        <w:rPr>
          <w:rFonts w:ascii="Times New Roman" w:hAnsi="Times New Roman"/>
          <w:b/>
          <w:bCs/>
          <w:szCs w:val="20"/>
          <w:lang w:val="en-US"/>
        </w:rPr>
        <w:t>gov</w:t>
      </w:r>
      <w:r>
        <w:rPr>
          <w:rFonts w:ascii="Times New Roman" w:hAnsi="Times New Roman"/>
          <w:b/>
          <w:bCs/>
          <w:szCs w:val="20"/>
        </w:rPr>
        <w:t>.</w:t>
      </w:r>
      <w:r>
        <w:rPr>
          <w:rFonts w:ascii="Times New Roman" w:hAnsi="Times New Roman"/>
          <w:b/>
          <w:bCs/>
          <w:szCs w:val="20"/>
          <w:lang w:val="en-US"/>
        </w:rPr>
        <w:t>ru</w:t>
      </w:r>
      <w:r>
        <w:rPr>
          <w:rFonts w:ascii="Times New Roman" w:hAnsi="Times New Roman"/>
          <w:b/>
          <w:bCs/>
          <w:szCs w:val="20"/>
        </w:rPr>
        <w:t>/</w:t>
      </w:r>
      <w:r>
        <w:rPr>
          <w:rFonts w:ascii="Times New Roman" w:hAnsi="Times New Roman"/>
          <w:b/>
          <w:bCs/>
          <w:szCs w:val="20"/>
          <w:lang w:val="en-US"/>
        </w:rPr>
        <w:t>branches</w:t>
      </w:r>
      <w:r>
        <w:rPr>
          <w:rFonts w:ascii="Times New Roman" w:hAnsi="Times New Roman"/>
          <w:b/>
          <w:bCs/>
          <w:szCs w:val="20"/>
        </w:rPr>
        <w:t>/</w:t>
      </w:r>
      <w:r>
        <w:rPr>
          <w:rFonts w:ascii="Times New Roman" w:hAnsi="Times New Roman"/>
          <w:b/>
          <w:bCs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Cs w:val="20"/>
        </w:rPr>
        <w:t>/</w:t>
      </w:r>
    </w:p>
    <w:p w14:paraId="4080AEE5" w14:textId="77777777" w:rsidR="00000000" w:rsidRDefault="00EF10A7">
      <w:pPr>
        <w:jc w:val="center"/>
        <w:rPr>
          <w:rFonts w:ascii="Times New Roman" w:hAnsi="Times New Roman"/>
          <w:b/>
          <w:bCs/>
          <w:sz w:val="6"/>
          <w:szCs w:val="6"/>
        </w:rPr>
      </w:pPr>
    </w:p>
    <w:p w14:paraId="23C26A2C" w14:textId="77777777" w:rsidR="00000000" w:rsidRDefault="00EF10A7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В 2025 году для волгоградцев изменились </w:t>
      </w:r>
    </w:p>
    <w:p w14:paraId="746FF1CC" w14:textId="77777777" w:rsidR="00000000" w:rsidRDefault="00EF10A7">
      <w:pPr>
        <w:spacing w:after="0"/>
        <w:jc w:val="center"/>
        <w:rPr>
          <w:rFonts w:ascii="Times New Roman" w:hAnsi="Times New Roman"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правила назначения единого пособия </w:t>
      </w:r>
    </w:p>
    <w:p w14:paraId="059C1AD2" w14:textId="77777777" w:rsidR="00000000" w:rsidRDefault="00EF10A7">
      <w:pPr>
        <w:spacing w:after="0"/>
        <w:jc w:val="center"/>
        <w:rPr>
          <w:rFonts w:ascii="Times New Roman" w:hAnsi="Times New Roman"/>
          <w:b/>
          <w:bCs/>
          <w:sz w:val="12"/>
          <w:szCs w:val="12"/>
        </w:rPr>
      </w:pPr>
    </w:p>
    <w:p w14:paraId="50BD9991" w14:textId="77777777" w:rsidR="00000000" w:rsidRDefault="00EF10A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 что обратить внимание жителям Волгограда и области? Автоматическое назначение пособия новорожденному в семье, где уже по</w:t>
      </w:r>
      <w:r>
        <w:rPr>
          <w:rFonts w:ascii="Times New Roman" w:hAnsi="Times New Roman"/>
          <w:i/>
          <w:iCs/>
          <w:sz w:val="28"/>
          <w:szCs w:val="28"/>
        </w:rPr>
        <w:t>лучают единое пособие, синхронизация сроков назначения пособия на разных детей, изменение минимального дохода — основные изменения в правилах назначения единого пособия с начала 2025 года.</w:t>
      </w:r>
    </w:p>
    <w:p w14:paraId="14B9411F" w14:textId="77777777" w:rsidR="00000000" w:rsidRDefault="00EF10A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203F5E4" w14:textId="77777777" w:rsidR="00000000" w:rsidRDefault="00EF10A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Проактивное назначение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CFCE514" w14:textId="77777777" w:rsidR="00000000" w:rsidRDefault="00EF10A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семья уже получает единое пособие, то</w:t>
      </w:r>
      <w:r>
        <w:rPr>
          <w:rFonts w:ascii="Times New Roman" w:hAnsi="Times New Roman"/>
          <w:sz w:val="28"/>
          <w:szCs w:val="28"/>
        </w:rPr>
        <w:t xml:space="preserve"> при рождении ещ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 одного реб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нка Отделение СФР по Волгоградской области назначит единое пособие автоматически, без подачи заявления,  без оценки комплексной оценки нуждаемости (то есть не оценивается имущество, среднедушевой доход и причины отсутствия дохо</w:t>
      </w:r>
      <w:r>
        <w:rPr>
          <w:rFonts w:ascii="Times New Roman" w:hAnsi="Times New Roman"/>
          <w:sz w:val="28"/>
          <w:szCs w:val="28"/>
        </w:rPr>
        <w:t>да). При этом пособие назначается в том же размере, в котором назначено на предыдущего реб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нка. </w:t>
      </w:r>
    </w:p>
    <w:p w14:paraId="5CECDB0C" w14:textId="77777777" w:rsidR="00000000" w:rsidRDefault="00EF10A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59C50B3" w14:textId="77777777" w:rsidR="00000000" w:rsidRDefault="00EF10A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Изменение минимального дохода</w:t>
      </w:r>
    </w:p>
    <w:p w14:paraId="58D0A7BC" w14:textId="77777777" w:rsidR="00000000" w:rsidRDefault="00EF10A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обращении за пособием в 2025 году каждый трудоспособный член семьи старше 18 лет должен иметь в расч</w:t>
      </w:r>
      <w:r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тном периоде доход не м</w:t>
      </w:r>
      <w:r>
        <w:rPr>
          <w:rFonts w:ascii="Times New Roman" w:hAnsi="Times New Roman"/>
          <w:sz w:val="28"/>
          <w:szCs w:val="28"/>
        </w:rPr>
        <w:t>енее 4 МРОТ — то есть минимум        89 760 рублей за 12 месяцев. Это условие распространяется на все трудовые доходы — не только от самозанятости. Правило не применяется при обосновании нулевого дохода.</w:t>
      </w:r>
    </w:p>
    <w:p w14:paraId="57BFC6CA" w14:textId="77777777" w:rsidR="00000000" w:rsidRDefault="00EF10A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33A1802" w14:textId="77777777" w:rsidR="00000000" w:rsidRDefault="00EF10A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Синхронизация периодов на разных детей</w:t>
      </w:r>
    </w:p>
    <w:p w14:paraId="16B802C2" w14:textId="77777777" w:rsidR="00000000" w:rsidRDefault="00EF10A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сроки н</w:t>
      </w:r>
      <w:r>
        <w:rPr>
          <w:rFonts w:ascii="Times New Roman" w:hAnsi="Times New Roman"/>
          <w:sz w:val="28"/>
          <w:szCs w:val="28"/>
        </w:rPr>
        <w:t>азначения пособия на детей не совпадают, в 2025 году можно подать заявление на продление пособия на всех детей в последний месяц периода на любого из детей. В случае отказа выплаты по новому заявлению Отделение СФР по Волгоградской области продолжит выплат</w:t>
      </w:r>
      <w:r>
        <w:rPr>
          <w:rFonts w:ascii="Times New Roman" w:hAnsi="Times New Roman"/>
          <w:sz w:val="28"/>
          <w:szCs w:val="28"/>
        </w:rPr>
        <w:t>ы по ранее назначенному пособию до окончания периода.</w:t>
      </w:r>
    </w:p>
    <w:p w14:paraId="2C4E9409" w14:textId="77777777" w:rsidR="00000000" w:rsidRDefault="00EF10A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D91E2A7" w14:textId="77777777" w:rsidR="00EF10A7" w:rsidRDefault="00EF10A7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Если у вас остались вопросы, вы можете обратиться в единый контакт-центр: 8 800 100-00-01 (режим работы региональной линии —  пн-чт с 8:00 до 17:00, пт — с 8:00 до 16:00).</w:t>
      </w:r>
    </w:p>
    <w:sectPr w:rsidR="00EF10A7">
      <w:pgSz w:w="11906" w:h="16838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025">
    <w:charset w:val="CC"/>
    <w:family w:val="auto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A7"/>
    <w:rsid w:val="00EF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E5A4D2"/>
  <w15:chartTrackingRefBased/>
  <w15:docId w15:val="{709987AF-EAB6-4AA5-AA5A-6F6AE813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font1025"/>
      <w:color w:val="00000A"/>
      <w:sz w:val="22"/>
      <w:szCs w:val="22"/>
      <w:lang w:eastAsia="en-US"/>
    </w:rPr>
  </w:style>
  <w:style w:type="paragraph" w:styleId="1">
    <w:name w:val="heading 1"/>
    <w:basedOn w:val="10"/>
    <w:qFormat/>
    <w:pPr>
      <w:outlineLvl w:val="0"/>
    </w:pPr>
  </w:style>
  <w:style w:type="paragraph" w:styleId="2">
    <w:name w:val="heading 2"/>
    <w:basedOn w:val="10"/>
    <w:qFormat/>
    <w:pPr>
      <w:outlineLvl w:val="1"/>
    </w:pPr>
  </w:style>
  <w:style w:type="paragraph" w:styleId="3">
    <w:name w:val="heading 3"/>
    <w:basedOn w:val="10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Основной текст Знак"/>
    <w:basedOn w:val="DefaultParagraphFont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с отступом Знак"/>
    <w:basedOn w:val="DefaultParagraphFont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5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alWeb">
    <w:name w:val="Normal (Web)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Блочная цитата"/>
    <w:basedOn w:val="a"/>
  </w:style>
  <w:style w:type="paragraph" w:styleId="ab">
    <w:name w:val="Title"/>
    <w:basedOn w:val="10"/>
    <w:qFormat/>
  </w:style>
  <w:style w:type="paragraph" w:styleId="ac">
    <w:name w:val="Subtitle"/>
    <w:basedOn w:val="10"/>
    <w:qFormat/>
  </w:style>
  <w:style w:type="paragraph" w:customStyle="1" w:styleId="ad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G\_GIT\wp-rest-api\TestRestAPI\bin\Debug\net8.0-windows\&#1053;&#1086;&#1074;&#1099;&#1077;%20&#1087;&#1088;&#1072;&#1074;&#1080;&#1083;&#1072;%20&#1085;&#1072;&#1079;&#1085;&#1072;&#1095;&#1077;&#1085;&#1080;&#1103;%20&#1077;&#1076;&#1080;&#1085;&#1086;&#1075;&#1086;%20&#1087;&#1086;&#1089;&#1086;&#1073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Новые правила назначения единого пособия.dot</Template>
  <TotalTime>0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Logon</dc:creator>
  <cp:keywords/>
  <cp:lastModifiedBy>Logon</cp:lastModifiedBy>
  <cp:revision>1</cp:revision>
  <cp:lastPrinted>1601-01-01T00:00:00Z</cp:lastPrinted>
  <dcterms:created xsi:type="dcterms:W3CDTF">2025-01-22T13:48:00Z</dcterms:created>
  <dcterms:modified xsi:type="dcterms:W3CDTF">2025-01-22T13:48:00Z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